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hAnsi="幼圆" w:eastAsia="幼圆" w:cs="幼圆"/>
          <w:sz w:val="44"/>
          <w:szCs w:val="44"/>
          <w:lang w:val="en-US" w:eastAsia="zh-CN"/>
        </w:rPr>
      </w:pPr>
    </w:p>
    <w:p>
      <w:pPr>
        <w:ind w:firstLine="3520" w:firstLineChars="800"/>
        <w:rPr>
          <w:rFonts w:hint="default" w:ascii="幼圆" w:hAnsi="幼圆" w:eastAsia="幼圆" w:cs="幼圆"/>
          <w:sz w:val="44"/>
          <w:szCs w:val="44"/>
          <w:lang w:val="en-US" w:eastAsia="zh-CN"/>
        </w:rPr>
      </w:pPr>
      <w:r>
        <w:rPr>
          <w:rFonts w:hint="eastAsia" w:ascii="幼圆" w:hAnsi="幼圆" w:eastAsia="幼圆" w:cs="幼圆"/>
          <w:sz w:val="44"/>
          <w:szCs w:val="44"/>
          <w:lang w:val="en-US" w:eastAsia="zh-CN"/>
        </w:rPr>
        <w:t>单网页的修改和发布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很多介绍类内容，都是单网页的形式；比如学校介绍、领导介绍；单网页是一个栏目就只有一篇内容。如果要修改和发布单网页内容，操作如下：</w:t>
      </w:r>
    </w:p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</w:p>
    <w:p>
      <w:pPr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幼圆" w:hAnsi="幼圆" w:eastAsia="幼圆" w:cs="幼圆"/>
          <w:b/>
          <w:bCs/>
          <w:color w:val="0000FF"/>
          <w:sz w:val="30"/>
          <w:szCs w:val="30"/>
          <w:lang w:val="en-US" w:eastAsia="zh-CN"/>
        </w:rPr>
        <w:t xml:space="preserve"> 处理方式一</w:t>
      </w: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eastAsia="zh-CN"/>
        </w:rPr>
        <w:t>点击</w:t>
      </w: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登录进入子站后台</w:t>
      </w:r>
    </w:p>
    <w:p>
      <w:pPr>
        <w:numPr>
          <w:numId w:val="0"/>
        </w:numPr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打开统一登录网址，选择各自的子站，点击进入该子站后台</w:t>
      </w:r>
    </w:p>
    <w:p>
      <w:pPr>
        <w:numPr>
          <w:numId w:val="0"/>
        </w:numPr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21350" cy="2618105"/>
            <wp:effectExtent l="0" t="0" r="12700" b="1079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进入单网页界面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进入子站后台，点击【栏目管理】-----点击展开单网页一级目录前面的【+】号-----看到对应的单网页内容后------点击【发布内容】按钮</w:t>
      </w:r>
    </w:p>
    <w:p>
      <w:pPr>
        <w:rPr>
          <w:rFonts w:hint="eastAsia"/>
          <w:lang w:eastAsia="zh-CN"/>
        </w:rPr>
      </w:pPr>
    </w:p>
    <w:p>
      <w:pPr>
        <w:jc w:val="center"/>
      </w:pPr>
      <w:r>
        <w:drawing>
          <wp:inline distT="0" distB="0" distL="114300" distR="114300">
            <wp:extent cx="5683885" cy="2419350"/>
            <wp:effectExtent l="0" t="0" r="1206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ind w:left="0" w:leftChars="0" w:firstLine="0" w:firstLineChars="0"/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对标题和内容进行修改</w:t>
      </w:r>
    </w:p>
    <w:p>
      <w:pPr>
        <w:numPr>
          <w:numId w:val="0"/>
        </w:numPr>
        <w:ind w:leftChars="0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A：下面对标题、所属栏目、发布时间进行修改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0830" cy="1948815"/>
            <wp:effectExtent l="0" t="0" r="7620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B：下面编辑器中，就是单网页的内容，直接在编辑框中修改</w:t>
      </w:r>
    </w:p>
    <w:p>
      <w:r>
        <w:drawing>
          <wp:inline distT="0" distB="0" distL="114300" distR="114300">
            <wp:extent cx="6637020" cy="3308985"/>
            <wp:effectExtent l="0" t="0" r="11430" b="57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</w:p>
    <w:p>
      <w:pPr>
        <w:rPr>
          <w:rFonts w:hint="eastAsia" w:ascii="幼圆" w:hAnsi="幼圆" w:eastAsia="幼圆" w:cs="幼圆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幼圆" w:hAnsi="幼圆" w:eastAsia="幼圆" w:cs="幼圆"/>
          <w:b/>
          <w:bCs/>
          <w:color w:val="0000FF"/>
          <w:sz w:val="30"/>
          <w:szCs w:val="30"/>
          <w:lang w:val="en-US" w:eastAsia="zh-CN"/>
        </w:rPr>
        <w:t xml:space="preserve"> 处理方式二</w:t>
      </w:r>
    </w:p>
    <w:p>
      <w:p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一、登录后，直接打开某篇内容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38925" cy="3046095"/>
            <wp:effectExtent l="0" t="0" r="9525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幼圆" w:hAnsi="幼圆" w:eastAsia="幼圆" w:cs="幼圆"/>
          <w:color w:val="0000FF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color w:val="0000FF"/>
          <w:sz w:val="24"/>
          <w:szCs w:val="24"/>
          <w:lang w:val="en-US" w:eastAsia="zh-CN"/>
        </w:rPr>
        <w:t>点击编辑后，进入编辑界面，对单网页进行内容修改：</w:t>
      </w:r>
    </w:p>
    <w:p>
      <w:pPr>
        <w:numPr>
          <w:ilvl w:val="0"/>
          <w:numId w:val="0"/>
        </w:numPr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6642735" cy="4315460"/>
            <wp:effectExtent l="0" t="0" r="5715" b="889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第二种方式，如果采取了动静态分离部署，就可能无法使用。当第二种方式无法操作的时候，就采取第一种通用方式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5734B"/>
    <w:multiLevelType w:val="singleLevel"/>
    <w:tmpl w:val="A4657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70B7"/>
    <w:rsid w:val="0D563111"/>
    <w:rsid w:val="29B76BBF"/>
    <w:rsid w:val="3D970101"/>
    <w:rsid w:val="419D1685"/>
    <w:rsid w:val="586C7165"/>
    <w:rsid w:val="5ADA38E2"/>
    <w:rsid w:val="7049331E"/>
    <w:rsid w:val="7DD54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guowei</dc:creator>
  <cp:lastModifiedBy>启锋@国微软件</cp:lastModifiedBy>
  <dcterms:modified xsi:type="dcterms:W3CDTF">2020-10-18T07:24:47Z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